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E6" w:rsidRDefault="001E2A8B" w:rsidP="00DE2AE6">
      <w:pPr>
        <w:pStyle w:val="1"/>
        <w:jc w:val="center"/>
      </w:pPr>
      <w:r>
        <w:rPr>
          <w:rFonts w:hint="eastAsia"/>
        </w:rPr>
        <w:t>国家一流课程评审指标</w:t>
      </w:r>
      <w:r>
        <w:rPr>
          <w:rFonts w:hint="eastAsia"/>
        </w:rPr>
        <w:t>(</w:t>
      </w:r>
      <w:r w:rsidR="00DE2AE6">
        <w:rPr>
          <w:rFonts w:hint="eastAsia"/>
        </w:rPr>
        <w:t>仅</w:t>
      </w:r>
      <w:r>
        <w:rPr>
          <w:rFonts w:hint="eastAsia"/>
        </w:rPr>
        <w:t>供参考</w:t>
      </w:r>
      <w:r>
        <w:rPr>
          <w:rFonts w:hint="eastAsia"/>
        </w:rPr>
        <w:t>)</w:t>
      </w:r>
    </w:p>
    <w:p w:rsidR="00906563" w:rsidRDefault="00906563" w:rsidP="00DE2AE6">
      <w:pPr>
        <w:pStyle w:val="1"/>
        <w:jc w:val="center"/>
      </w:pPr>
      <w:r>
        <w:rPr>
          <w:rFonts w:hint="eastAsia"/>
        </w:rPr>
        <w:t>评审指标</w:t>
      </w:r>
    </w:p>
    <w:p w:rsidR="00906563" w:rsidRDefault="00906563" w:rsidP="00210C5B">
      <w:pPr>
        <w:pStyle w:val="2"/>
      </w:pPr>
      <w:r>
        <w:rPr>
          <w:rFonts w:hint="eastAsia"/>
        </w:rPr>
        <w:t>线上</w:t>
      </w:r>
      <w:bookmarkStart w:id="0" w:name="_GoBack"/>
      <w:bookmarkEnd w:id="0"/>
      <w:r>
        <w:rPr>
          <w:rFonts w:hint="eastAsia"/>
        </w:rPr>
        <w:t>一流课程评审指标</w:t>
      </w:r>
    </w:p>
    <w:p w:rsidR="00210C5B" w:rsidRDefault="00906563" w:rsidP="001E2A8B">
      <w:pPr>
        <w:pStyle w:val="3"/>
      </w:pPr>
      <w:r>
        <w:rPr>
          <w:rFonts w:hint="eastAsia"/>
        </w:rPr>
        <w:t xml:space="preserve">01 / </w:t>
      </w:r>
      <w:r>
        <w:rPr>
          <w:rFonts w:ascii="宋体" w:hAnsi="宋体" w:hint="eastAsia"/>
        </w:rPr>
        <w:t>否决性指标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6825"/>
      </w:tblGrid>
      <w:tr w:rsidR="00210C5B" w:rsidRPr="00210C5B" w:rsidTr="00210C5B">
        <w:tc>
          <w:tcPr>
            <w:tcW w:w="167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widowControl/>
              <w:wordWrap w:val="0"/>
              <w:jc w:val="center"/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  <w:r w:rsidRPr="00210C5B">
              <w:rPr>
                <w:rFonts w:ascii="宋体" w:hAnsi="宋体" w:cs="Arial" w:hint="eastAsia"/>
                <w:color w:val="333333"/>
                <w:kern w:val="0"/>
                <w:sz w:val="18"/>
              </w:rPr>
              <w:t>项</w:t>
            </w:r>
          </w:p>
        </w:tc>
        <w:tc>
          <w:tcPr>
            <w:tcW w:w="68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widowControl/>
              <w:wordWrap w:val="0"/>
              <w:jc w:val="center"/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  <w:r w:rsidRPr="00210C5B">
              <w:rPr>
                <w:rFonts w:ascii="宋体" w:hAnsi="宋体" w:cs="Arial" w:hint="eastAsia"/>
                <w:color w:val="333333"/>
                <w:kern w:val="0"/>
                <w:sz w:val="18"/>
              </w:rPr>
              <w:t>细则</w:t>
            </w:r>
          </w:p>
        </w:tc>
      </w:tr>
      <w:tr w:rsidR="00210C5B" w:rsidRPr="00210C5B" w:rsidTr="00210C5B">
        <w:tc>
          <w:tcPr>
            <w:tcW w:w="167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widowControl/>
              <w:wordWrap w:val="0"/>
              <w:jc w:val="left"/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  <w:r w:rsidRPr="00210C5B">
              <w:rPr>
                <w:rFonts w:ascii="宋体" w:hAnsi="宋体" w:cs="Arial" w:hint="eastAsia"/>
                <w:color w:val="333333"/>
                <w:kern w:val="0"/>
                <w:sz w:val="18"/>
              </w:rPr>
              <w:t>平台资格</w:t>
            </w:r>
          </w:p>
        </w:tc>
        <w:tc>
          <w:tcPr>
            <w:tcW w:w="68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1、无工信部</w:t>
            </w:r>
            <w:r w:rsidRPr="00210C5B">
              <w:rPr>
                <w:rFonts w:ascii="宋体" w:hAnsi="宋体" w:cs="Calibri" w:hint="eastAsia"/>
                <w:sz w:val="18"/>
              </w:rPr>
              <w:t>ICP</w:t>
            </w:r>
            <w:r w:rsidRPr="00210C5B">
              <w:rPr>
                <w:rFonts w:ascii="宋体" w:hAnsi="宋体" w:hint="eastAsia"/>
                <w:sz w:val="18"/>
              </w:rPr>
              <w:t>网站备案、无公安机关网站备案号、无信息安全二级以上等级保护证书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2、非面向社会或高校开放平台</w:t>
            </w:r>
          </w:p>
          <w:p w:rsidR="00210C5B" w:rsidRPr="00210C5B" w:rsidRDefault="00210C5B" w:rsidP="00210C5B">
            <w:pPr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</w:p>
        </w:tc>
      </w:tr>
      <w:tr w:rsidR="00210C5B" w:rsidRPr="00210C5B" w:rsidTr="00210C5B">
        <w:tc>
          <w:tcPr>
            <w:tcW w:w="167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widowControl/>
              <w:wordWrap w:val="0"/>
              <w:jc w:val="left"/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  <w:r w:rsidRPr="00210C5B">
              <w:rPr>
                <w:rFonts w:ascii="宋体" w:hAnsi="宋体" w:cs="Arial" w:hint="eastAsia"/>
                <w:color w:val="333333"/>
                <w:kern w:val="0"/>
                <w:sz w:val="18"/>
              </w:rPr>
              <w:t>课程资格</w:t>
            </w:r>
          </w:p>
        </w:tc>
        <w:tc>
          <w:tcPr>
            <w:tcW w:w="68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1、申报材料不齐备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2、课程无法登录或无法打开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3、无法显示完整内容和教学活动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4、</w:t>
            </w:r>
            <w:proofErr w:type="gramStart"/>
            <w:r w:rsidRPr="00210C5B">
              <w:rPr>
                <w:rFonts w:ascii="宋体" w:hAnsi="宋体" w:hint="eastAsia"/>
                <w:sz w:val="18"/>
              </w:rPr>
              <w:t>非慕课</w:t>
            </w:r>
            <w:proofErr w:type="gramEnd"/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5、非本科</w:t>
            </w:r>
            <w:r w:rsidRPr="00210C5B">
              <w:rPr>
                <w:rFonts w:ascii="宋体" w:hAnsi="宋体" w:cs="Calibri" w:hint="eastAsia"/>
                <w:sz w:val="18"/>
              </w:rPr>
              <w:t>/</w:t>
            </w:r>
            <w:r w:rsidRPr="00210C5B">
              <w:rPr>
                <w:rFonts w:ascii="宋体" w:hAnsi="宋体" w:hint="eastAsia"/>
                <w:sz w:val="18"/>
              </w:rPr>
              <w:t>高职</w:t>
            </w:r>
            <w:r w:rsidRPr="00210C5B">
              <w:rPr>
                <w:rFonts w:ascii="宋体" w:hAnsi="宋体" w:cs="Calibri" w:hint="eastAsia"/>
                <w:sz w:val="18"/>
              </w:rPr>
              <w:t>/</w:t>
            </w:r>
            <w:r w:rsidRPr="00210C5B">
              <w:rPr>
                <w:rFonts w:ascii="宋体" w:hAnsi="宋体" w:hint="eastAsia"/>
                <w:sz w:val="18"/>
              </w:rPr>
              <w:t>专科教育课程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6、开设时间或期数不符合申报要求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7、教师无在线教学服务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8、负责人非申报高校正式聘任教师</w:t>
            </w:r>
          </w:p>
          <w:p w:rsidR="00210C5B" w:rsidRPr="00210C5B" w:rsidRDefault="00210C5B" w:rsidP="00210C5B">
            <w:pPr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9、存在思想性或较严重的科学性问题</w:t>
            </w:r>
          </w:p>
        </w:tc>
      </w:tr>
      <w:tr w:rsidR="00210C5B" w:rsidRPr="00210C5B" w:rsidTr="00210C5B">
        <w:tc>
          <w:tcPr>
            <w:tcW w:w="167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widowControl/>
              <w:wordWrap w:val="0"/>
              <w:jc w:val="left"/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  <w:r w:rsidRPr="00210C5B">
              <w:rPr>
                <w:rFonts w:ascii="宋体" w:hAnsi="宋体" w:cs="Arial" w:hint="eastAsia"/>
                <w:color w:val="333333"/>
                <w:kern w:val="0"/>
                <w:sz w:val="18"/>
              </w:rPr>
              <w:t>造假、侵权</w:t>
            </w:r>
          </w:p>
        </w:tc>
        <w:tc>
          <w:tcPr>
            <w:tcW w:w="68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1、材料、数据造假</w:t>
            </w:r>
          </w:p>
          <w:p w:rsidR="00210C5B" w:rsidRPr="00210C5B" w:rsidRDefault="00210C5B" w:rsidP="00210C5B">
            <w:pPr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2、发现且确认有侵权现象</w:t>
            </w:r>
          </w:p>
        </w:tc>
      </w:tr>
      <w:tr w:rsidR="00210C5B" w:rsidRPr="00210C5B" w:rsidTr="00210C5B">
        <w:tc>
          <w:tcPr>
            <w:tcW w:w="167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widowControl/>
              <w:wordWrap w:val="0"/>
              <w:jc w:val="left"/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  <w:r w:rsidRPr="00210C5B">
              <w:rPr>
                <w:rFonts w:ascii="宋体" w:hAnsi="宋体" w:cs="Arial" w:hint="eastAsia"/>
                <w:color w:val="333333"/>
                <w:kern w:val="0"/>
                <w:sz w:val="18"/>
              </w:rPr>
              <w:t>不适合网络传播</w:t>
            </w:r>
          </w:p>
        </w:tc>
        <w:tc>
          <w:tcPr>
            <w:tcW w:w="68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widowControl/>
              <w:wordWrap w:val="0"/>
              <w:jc w:val="left"/>
              <w:rPr>
                <w:rFonts w:ascii="宋体" w:hAnsi="宋体" w:cs="Arial"/>
                <w:color w:val="333333"/>
                <w:spacing w:val="8"/>
                <w:kern w:val="0"/>
                <w:sz w:val="18"/>
              </w:rPr>
            </w:pPr>
            <w:r w:rsidRPr="00210C5B">
              <w:rPr>
                <w:rFonts w:ascii="宋体" w:hAnsi="宋体" w:cs="Arial" w:hint="eastAsia"/>
                <w:color w:val="333333"/>
                <w:kern w:val="0"/>
                <w:sz w:val="18"/>
              </w:rPr>
              <w:t>课程内容不适合网络公开传播</w:t>
            </w:r>
          </w:p>
        </w:tc>
      </w:tr>
    </w:tbl>
    <w:p w:rsidR="00210C5B" w:rsidRDefault="00210C5B" w:rsidP="00210C5B">
      <w:pPr>
        <w:pStyle w:val="3"/>
      </w:pPr>
      <w:r>
        <w:rPr>
          <w:rFonts w:hint="eastAsia"/>
        </w:rPr>
        <w:t xml:space="preserve">02 / </w:t>
      </w:r>
      <w:r>
        <w:rPr>
          <w:rFonts w:hint="eastAsia"/>
        </w:rPr>
        <w:t>评审指标细则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168"/>
        <w:gridCol w:w="5670"/>
        <w:gridCol w:w="708"/>
      </w:tblGrid>
      <w:tr w:rsidR="00210C5B" w:rsidRPr="00210C5B" w:rsidTr="00210C5B">
        <w:tc>
          <w:tcPr>
            <w:tcW w:w="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一级指标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二级指标</w:t>
            </w: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观测点及描述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分数</w:t>
            </w:r>
          </w:p>
        </w:tc>
      </w:tr>
      <w:tr w:rsidR="00210C5B" w:rsidRPr="00210C5B" w:rsidTr="00210C5B">
        <w:tc>
          <w:tcPr>
            <w:tcW w:w="95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一、课程内容 20分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1-1规范性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课程内容为高校教学内容，符合《普通高等学校本科专业类教学质量国家标准》等要求，课程定位准确，教学内容质量高；课程知识体系科学完整。（若课程内容不规范，不适合列入高校人才培养方案的，此项为0分。）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210C5B" w:rsidRPr="00210C5B" w:rsidTr="00210C5B">
        <w:tc>
          <w:tcPr>
            <w:tcW w:w="954" w:type="dxa"/>
            <w:vMerge/>
            <w:vAlign w:val="center"/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1-2思想性、科学性、先进性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坚持立德树人，将思想政治教育内化为课程内容，弘扬社会主义核心价值观；课程内容先进、新颖，反映学科专业先进的核心理论和成果，体现教改教研成果，具有较高的科学性水平，注重运用知识解决实际问题。（若存在思想性或较严重的科学性问题，此项为0分，请在否决性指标</w:t>
            </w:r>
            <w:r w:rsidRPr="00210C5B">
              <w:rPr>
                <w:rFonts w:ascii="宋体" w:hAnsi="宋体" w:hint="eastAsia"/>
                <w:sz w:val="18"/>
                <w:szCs w:val="18"/>
              </w:rPr>
              <w:lastRenderedPageBreak/>
              <w:t>11中勾选，直接提交，结束评审此课程为0分。）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lastRenderedPageBreak/>
              <w:t>5分</w:t>
            </w:r>
          </w:p>
        </w:tc>
      </w:tr>
      <w:tr w:rsidR="00210C5B" w:rsidRPr="00210C5B" w:rsidTr="00210C5B">
        <w:tc>
          <w:tcPr>
            <w:tcW w:w="954" w:type="dxa"/>
            <w:vMerge/>
            <w:vAlign w:val="center"/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1-3 安全性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课程无危害国家安全、涉密及其他不适宜网络公开传播的内容，无侵犯他人知识产权内容。(若存在有不适合公开的课程内容或有确凿证据证明有侵权情况，此项为0分，请在否决性指标13（14）中勾选，直接提交，结束评审，此课程为0分。）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210C5B" w:rsidRPr="00210C5B" w:rsidTr="00210C5B">
        <w:tc>
          <w:tcPr>
            <w:tcW w:w="954" w:type="dxa"/>
            <w:vMerge/>
            <w:vAlign w:val="center"/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1-4 适当性、多样性</w:t>
            </w: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课程内容及教学环节配置丰富、多样，深浅度合理，内容更新和完善及时。在线考试难易度适当，有区分度。(</w:t>
            </w:r>
            <w:proofErr w:type="gramStart"/>
            <w:r w:rsidRPr="00210C5B">
              <w:rPr>
                <w:rFonts w:ascii="宋体" w:hAnsi="宋体" w:hint="eastAsia"/>
                <w:sz w:val="18"/>
                <w:szCs w:val="18"/>
              </w:rPr>
              <w:t>若学</w:t>
            </w:r>
            <w:proofErr w:type="gramEnd"/>
            <w:r w:rsidRPr="00210C5B">
              <w:rPr>
                <w:rFonts w:ascii="宋体" w:hAnsi="宋体" w:hint="eastAsia"/>
                <w:sz w:val="18"/>
                <w:szCs w:val="18"/>
              </w:rPr>
              <w:t>分课程的内容过于浅显，或考核评判标准过低，此 项为0分。）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210C5B" w:rsidRPr="00210C5B" w:rsidTr="00210C5B">
        <w:trPr>
          <w:trHeight w:val="360"/>
        </w:trPr>
        <w:tc>
          <w:tcPr>
            <w:tcW w:w="95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二、课程教学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设计  25分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2-1合理性 </w:t>
            </w: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教学目标明确，教学方法与教学活动组织科学合理，符合教育教学规律。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210C5B" w:rsidRPr="00210C5B" w:rsidTr="00210C5B">
        <w:tc>
          <w:tcPr>
            <w:tcW w:w="954" w:type="dxa"/>
            <w:vMerge/>
            <w:vAlign w:val="center"/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2-2方向性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符合以学生为中心的课程教学改革方向，注重激发学生学习志趣和潜能，增强学生的社会责任感、创新精神和实践能力；信息技术与教育教学融合，课程应用与课程服务相融通，  适合在线学习、翻转课堂以及线上线下混合式拓展性学习。 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</w:tr>
      <w:tr w:rsidR="00210C5B" w:rsidRPr="00210C5B" w:rsidTr="00210C5B">
        <w:tc>
          <w:tcPr>
            <w:tcW w:w="954" w:type="dxa"/>
            <w:vMerge/>
            <w:vAlign w:val="center"/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2-3创新性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有针对性地解决当前教育教学中存在的问题，充分利用和发挥网络教学优势，各教学环节充分、有效，满足学生的在线学习的诉求，不是传统课堂的简单翻版。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</w:tr>
      <w:tr w:rsidR="00210C5B" w:rsidRPr="00210C5B" w:rsidTr="00210C5B">
        <w:tc>
          <w:tcPr>
            <w:tcW w:w="95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三、课程团队 10分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3-1 负责人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在本课程专业领域有较高学术造诣，教学经验丰富，教学水平高，在推进</w:t>
            </w:r>
            <w:proofErr w:type="gramStart"/>
            <w:r w:rsidRPr="00210C5B">
              <w:rPr>
                <w:rFonts w:ascii="宋体" w:hAnsi="宋体" w:hint="eastAsia"/>
                <w:sz w:val="18"/>
                <w:szCs w:val="18"/>
              </w:rPr>
              <w:t>基于慕课的</w:t>
            </w:r>
            <w:proofErr w:type="gramEnd"/>
            <w:r w:rsidRPr="00210C5B">
              <w:rPr>
                <w:rFonts w:ascii="宋体" w:hAnsi="宋体" w:hint="eastAsia"/>
                <w:sz w:val="18"/>
                <w:szCs w:val="18"/>
              </w:rPr>
              <w:t>信息技术与教育教学深度融合的课程改革中投入精力大，有一定影响度。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210C5B" w:rsidRPr="00210C5B" w:rsidTr="00210C5B">
        <w:tc>
          <w:tcPr>
            <w:tcW w:w="954" w:type="dxa"/>
            <w:vMerge/>
            <w:vAlign w:val="center"/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3-2 团队 </w:t>
            </w: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 xml:space="preserve">主讲教师师德好、教学能力强，教学表现力强，课程团 </w:t>
            </w:r>
            <w:proofErr w:type="gramStart"/>
            <w:r w:rsidRPr="00210C5B">
              <w:rPr>
                <w:rFonts w:ascii="宋体" w:hAnsi="宋体" w:hint="eastAsia"/>
                <w:sz w:val="18"/>
                <w:szCs w:val="18"/>
              </w:rPr>
              <w:t>队结构</w:t>
            </w:r>
            <w:proofErr w:type="gramEnd"/>
            <w:r w:rsidRPr="00210C5B">
              <w:rPr>
                <w:rFonts w:ascii="宋体" w:hAnsi="宋体" w:hint="eastAsia"/>
                <w:sz w:val="18"/>
                <w:szCs w:val="18"/>
              </w:rPr>
              <w:t>合理。 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210C5B" w:rsidRPr="00210C5B" w:rsidTr="00210C5B">
        <w:tc>
          <w:tcPr>
            <w:tcW w:w="95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四、教学支持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20分</w:t>
            </w: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4-1 团队服务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通过课程平台，教师按照教学计划和要求为学习者提供测验、作业、考试、答疑、讨论等教学活动，及时开展 有效的在线指导与测评。（若教学团队成员未参与学习者答疑、讨论等教学活动，此项为0分。）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</w:tr>
      <w:tr w:rsidR="00210C5B" w:rsidRPr="00210C5B" w:rsidTr="00210C5B">
        <w:tc>
          <w:tcPr>
            <w:tcW w:w="954" w:type="dxa"/>
            <w:vMerge/>
            <w:vAlign w:val="center"/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4-2 学习者活动</w:t>
            </w: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学习者在线学习响应度高，师生互动活跃。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</w:tr>
      <w:tr w:rsidR="00210C5B" w:rsidRPr="00210C5B" w:rsidTr="00210C5B">
        <w:tc>
          <w:tcPr>
            <w:tcW w:w="95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五、应用效果与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影响 25分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5-1开放性 </w:t>
            </w: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面向其他高校和社会学习者开放学习程度高。 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210C5B" w:rsidRPr="00210C5B" w:rsidTr="00210C5B">
        <w:tc>
          <w:tcPr>
            <w:tcW w:w="954" w:type="dxa"/>
            <w:vMerge/>
            <w:vAlign w:val="center"/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5-2课程本校应用情况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在本校将在线课程与课堂教学结合，推动教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学方法改革，有效提高教学质量。（若未应 用于本校课程改革，此项为0分。）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210C5B" w:rsidRPr="00210C5B" w:rsidTr="00210C5B">
        <w:tc>
          <w:tcPr>
            <w:tcW w:w="954" w:type="dxa"/>
            <w:vMerge/>
            <w:vAlign w:val="center"/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5-3 在其他高校和社会学习者中应 用共享情况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共享范围广，应用模式多样，应用效果好，社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会影响力大，受益教师和学习者反馈、评价高。</w:t>
            </w:r>
          </w:p>
        </w:tc>
        <w:tc>
          <w:tcPr>
            <w:tcW w:w="70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  <w:szCs w:val="18"/>
              </w:rPr>
            </w:pPr>
            <w:r w:rsidRPr="00210C5B">
              <w:rPr>
                <w:rFonts w:ascii="宋体" w:hAnsi="宋体" w:hint="eastAsia"/>
                <w:sz w:val="18"/>
                <w:szCs w:val="18"/>
              </w:rPr>
              <w:t>15分</w:t>
            </w:r>
          </w:p>
        </w:tc>
      </w:tr>
    </w:tbl>
    <w:p w:rsidR="00210C5B" w:rsidRDefault="00210C5B" w:rsidP="00210C5B">
      <w:pPr>
        <w:ind w:firstLineChars="200" w:firstLine="420"/>
      </w:pPr>
    </w:p>
    <w:p w:rsidR="00210C5B" w:rsidRDefault="00210C5B" w:rsidP="00210C5B">
      <w:pPr>
        <w:pStyle w:val="2"/>
      </w:pPr>
      <w:r>
        <w:rPr>
          <w:rFonts w:hint="eastAsia"/>
        </w:rPr>
        <w:lastRenderedPageBreak/>
        <w:t>线下一流课程评审指标</w:t>
      </w:r>
    </w:p>
    <w:p w:rsidR="00210C5B" w:rsidRDefault="00210C5B" w:rsidP="00210C5B">
      <w:pPr>
        <w:pStyle w:val="3"/>
      </w:pPr>
      <w:r>
        <w:rPr>
          <w:rFonts w:hint="eastAsia"/>
        </w:rPr>
        <w:t xml:space="preserve">01 / </w:t>
      </w:r>
      <w:r>
        <w:rPr>
          <w:rFonts w:hint="eastAsia"/>
        </w:rPr>
        <w:t>否决性指标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360"/>
      </w:tblGrid>
      <w:tr w:rsidR="00210C5B" w:rsidRPr="00210C5B" w:rsidTr="00C15994">
        <w:tc>
          <w:tcPr>
            <w:tcW w:w="114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项</w:t>
            </w:r>
          </w:p>
        </w:tc>
        <w:tc>
          <w:tcPr>
            <w:tcW w:w="73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细则</w:t>
            </w:r>
          </w:p>
        </w:tc>
      </w:tr>
      <w:tr w:rsidR="00210C5B" w:rsidRPr="00210C5B" w:rsidTr="00C15994">
        <w:tc>
          <w:tcPr>
            <w:tcW w:w="114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课程资质</w:t>
            </w:r>
          </w:p>
        </w:tc>
        <w:tc>
          <w:tcPr>
            <w:tcW w:w="73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1、非本科学分课程 查看教务系统提供的截图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2、开设时间或期数不符合申报要求 申报截止日期前未完成至少两个完整的教 学学期或周期（查教务系统截图）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3、课程基本信息有明显不一致 重点对比与教务系统截</w:t>
            </w:r>
            <w:proofErr w:type="gramStart"/>
            <w:r w:rsidRPr="00210C5B">
              <w:rPr>
                <w:rFonts w:ascii="宋体" w:hAnsi="宋体" w:hint="eastAsia"/>
                <w:sz w:val="18"/>
              </w:rPr>
              <w:t>图是否</w:t>
            </w:r>
            <w:proofErr w:type="gramEnd"/>
            <w:r w:rsidRPr="00210C5B">
              <w:rPr>
                <w:rFonts w:ascii="宋体" w:hAnsi="宋体" w:hint="eastAsia"/>
                <w:sz w:val="18"/>
              </w:rPr>
              <w:t>一致：课程名称、授课教师、学时，查看有关说明材料。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4、申报材料不齐备，缺少必须提供的关键材料 查看是否缺少申报书中的“七、 附件材料清单中的1-5项”的某项材料。</w:t>
            </w:r>
          </w:p>
        </w:tc>
      </w:tr>
      <w:tr w:rsidR="00210C5B" w:rsidRPr="00210C5B" w:rsidTr="00C15994">
        <w:tc>
          <w:tcPr>
            <w:tcW w:w="114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教师资格</w:t>
            </w:r>
          </w:p>
        </w:tc>
        <w:tc>
          <w:tcPr>
            <w:tcW w:w="73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1、负责人非申报高校正式聘任教师查看“二、课程团队序号1的成员”及其他申报材料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 xml:space="preserve">2、团队成员存在师德师风方面问题 查看“十、学校政治审查意见”，根据专 </w:t>
            </w:r>
            <w:proofErr w:type="gramStart"/>
            <w:r w:rsidRPr="00210C5B">
              <w:rPr>
                <w:rFonts w:ascii="宋体" w:hAnsi="宋体" w:hint="eastAsia"/>
                <w:sz w:val="18"/>
              </w:rPr>
              <w:t>家掌握</w:t>
            </w:r>
            <w:proofErr w:type="gramEnd"/>
            <w:r w:rsidRPr="00210C5B">
              <w:rPr>
                <w:rFonts w:ascii="宋体" w:hAnsi="宋体" w:hint="eastAsia"/>
                <w:sz w:val="18"/>
              </w:rPr>
              <w:t>的信息</w:t>
            </w:r>
          </w:p>
        </w:tc>
      </w:tr>
      <w:tr w:rsidR="00210C5B" w:rsidRPr="00210C5B" w:rsidTr="00C15994">
        <w:tc>
          <w:tcPr>
            <w:tcW w:w="114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课程内容</w:t>
            </w:r>
          </w:p>
        </w:tc>
        <w:tc>
          <w:tcPr>
            <w:tcW w:w="73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1、存在思想性或较严重的科学性问题 专家审查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2、申报材料无法支撑课程内容，教学无法实施专家审查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3、课程内容涉密 对比提交材料</w:t>
            </w:r>
          </w:p>
        </w:tc>
      </w:tr>
      <w:tr w:rsidR="00210C5B" w:rsidRPr="00210C5B" w:rsidTr="00C15994">
        <w:tc>
          <w:tcPr>
            <w:tcW w:w="114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造假、侵权</w:t>
            </w:r>
          </w:p>
        </w:tc>
        <w:tc>
          <w:tcPr>
            <w:tcW w:w="736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1、申报材料造假 对比提交材料，或举报属实</w:t>
            </w:r>
          </w:p>
          <w:p w:rsidR="00210C5B" w:rsidRPr="00210C5B" w:rsidRDefault="00210C5B" w:rsidP="00210C5B">
            <w:pPr>
              <w:rPr>
                <w:rFonts w:ascii="宋体" w:hAnsi="宋体"/>
                <w:sz w:val="18"/>
              </w:rPr>
            </w:pPr>
            <w:r w:rsidRPr="00210C5B">
              <w:rPr>
                <w:rFonts w:ascii="宋体" w:hAnsi="宋体" w:hint="eastAsia"/>
                <w:sz w:val="18"/>
              </w:rPr>
              <w:t>2、发现且确认有侵权现象对比提交材料，或举报属实</w:t>
            </w:r>
          </w:p>
        </w:tc>
      </w:tr>
    </w:tbl>
    <w:p w:rsidR="00210C5B" w:rsidRPr="00210C5B" w:rsidRDefault="00210C5B" w:rsidP="00210C5B"/>
    <w:p w:rsidR="00210C5B" w:rsidRDefault="00210C5B" w:rsidP="00210C5B">
      <w:pPr>
        <w:pStyle w:val="3"/>
      </w:pPr>
      <w:r>
        <w:rPr>
          <w:rFonts w:hint="eastAsia"/>
        </w:rPr>
        <w:t xml:space="preserve">02 / </w:t>
      </w:r>
      <w:r>
        <w:rPr>
          <w:rFonts w:hint="eastAsia"/>
        </w:rPr>
        <w:t>评审指标细则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533"/>
        <w:gridCol w:w="6095"/>
        <w:gridCol w:w="709"/>
      </w:tblGrid>
      <w:tr w:rsidR="00C15994" w:rsidRPr="00C15994" w:rsidTr="00C15994">
        <w:tc>
          <w:tcPr>
            <w:tcW w:w="102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一级指标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二级指标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观测点及描述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分值</w:t>
            </w:r>
          </w:p>
        </w:tc>
      </w:tr>
      <w:tr w:rsidR="00C15994" w:rsidRPr="00C15994" w:rsidTr="00C15994">
        <w:trPr>
          <w:trHeight w:val="375"/>
        </w:trPr>
        <w:tc>
          <w:tcPr>
            <w:tcW w:w="102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一、课程目标符合新时代人才培养要求 15分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1-1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符合学校办学定位和人才培养目标，坚持立德树人。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rPr>
          <w:trHeight w:val="1020"/>
        </w:trPr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1-2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坚持知识、能力、素质有机融合，注重提升课程的高阶性、突出课程 的创新性、增加课程的挑战度，契合学生解决复杂问题等综合能力养 成要求。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rPr>
          <w:trHeight w:val="1260"/>
        </w:trPr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1-3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目标描述准确具体，对应国家、行业、专业需求，符合培养规律，符合校情、学情，达成路径清晰，便于考核评价。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15994" w:rsidRPr="00C15994" w:rsidTr="00C15994">
        <w:tc>
          <w:tcPr>
            <w:tcW w:w="102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二、授课教师（团队） 切实投入教学改革 15分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2-1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秉持学生中心、产出导向、持续改进的理念。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2-2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教学理念融入教学设计，围绕目标达成、教学内容、组织 实施和多元评价需求进行整体规划，教学策略、教学方法 教学过程、教学评价等设计合理。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2-3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教学改革意识强烈，能够主动运用新技术、新手段、新工 具，创新教学方法，提高教学效率、提升教学质量，教学 能力有显著提升。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15994" w:rsidRPr="00C15994" w:rsidTr="00C15994">
        <w:tc>
          <w:tcPr>
            <w:tcW w:w="102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三、课程内</w:t>
            </w:r>
            <w:r w:rsidRPr="00C15994">
              <w:rPr>
                <w:rFonts w:ascii="宋体" w:hAnsi="宋体" w:hint="eastAsia"/>
                <w:sz w:val="18"/>
                <w:szCs w:val="18"/>
              </w:rPr>
              <w:lastRenderedPageBreak/>
              <w:t>容与时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俱进 20分</w:t>
            </w: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lastRenderedPageBreak/>
              <w:t>3-1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落实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课程思政建设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要求，通过专业知识教育与思想政治教育的紧密融合，将</w:t>
            </w:r>
            <w:r w:rsidRPr="00C15994">
              <w:rPr>
                <w:rFonts w:ascii="宋体" w:hAnsi="宋体" w:hint="eastAsia"/>
                <w:sz w:val="18"/>
                <w:szCs w:val="18"/>
              </w:rPr>
              <w:lastRenderedPageBreak/>
              <w:t>价值塑造、知识传授和能力培养三者融为一体。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lastRenderedPageBreak/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3-2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体现前沿性与时代性要求，反映学科专业、行业先进的核心理论和成果，聚焦新工科、新医科、新农科、新文科建设，增加体现多学科思维融合、产业技术与学科理论融合、跨专业能力融合、多学科项目实践融合内容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3-3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保障教学资源的优质性与适用性，以提升学生综合能力为重点，重塑课程内容。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102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四、教与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学发生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改 变 15分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4-1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以教为中心向以学为中心转变，以提升教学效果为目的因材施教，运用适当的数字化教学工具，有效开展线下课堂教学活动。实施打破传统课堂“满堂灌”和沉默状态的方式方法，训练学生问题解决能力和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审辩式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思维能力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4-2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学生学习方式有显著变化，安排学生个别化学习与合作学习，强化课堂教学师生互动、生生互动环节，加强研究型、项目式学习。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102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五、评价拓展深化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15分</w:t>
            </w: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5-1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考核方式多元，丰富探究式、论文式、报告答辩式等作业评价方式，加强非标准化、综合性等评价，评价手段恰当必要，契合相对应的人才培养类型。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5-2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考试考核评价严格，体现过程评价，注重学习效果评价，考核考试评价严格，过程可回溯，诊断改进积极有效。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</w:tr>
      <w:tr w:rsidR="00C15994" w:rsidRPr="00C15994" w:rsidTr="00C15994">
        <w:tc>
          <w:tcPr>
            <w:tcW w:w="102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六、改革行之有效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20分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6-1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6-2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改革迭代优化，有意识地收集数据开展教学反思、教学研究和教学改进。在多期混合式教学中进行迭 代，不断优化教学的设计和实施。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6-3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学校对探索应用智慧教室等信息化教学工具开展线下课程改革、应用信息化手段开展教学管理与质量 监控有配套条件或机制支持。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6-4</w:t>
            </w:r>
          </w:p>
        </w:tc>
        <w:tc>
          <w:tcPr>
            <w:tcW w:w="609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 xml:space="preserve">较好地解决了传统教学中的短板问题。在树立课程建设新理念、推进相应类型高校课程改革创新、提 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升教学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效果方面显示了明显优势，具有推广价值。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</w:tbl>
    <w:p w:rsidR="00C15994" w:rsidRPr="00C15994" w:rsidRDefault="00C15994" w:rsidP="00C15994"/>
    <w:p w:rsidR="00210C5B" w:rsidRDefault="00210C5B" w:rsidP="00210C5B">
      <w:pPr>
        <w:pStyle w:val="2"/>
      </w:pPr>
      <w:r>
        <w:rPr>
          <w:rFonts w:hint="eastAsia"/>
        </w:rPr>
        <w:t>线上线下混合式一流课程评审指标</w:t>
      </w:r>
    </w:p>
    <w:p w:rsidR="00210C5B" w:rsidRDefault="00210C5B" w:rsidP="00210C5B">
      <w:pPr>
        <w:pStyle w:val="3"/>
        <w:rPr>
          <w:rFonts w:ascii="宋体" w:hAnsi="宋体"/>
        </w:rPr>
      </w:pPr>
      <w:r>
        <w:rPr>
          <w:rFonts w:hint="eastAsia"/>
        </w:rPr>
        <w:t xml:space="preserve">01 / </w:t>
      </w:r>
      <w:r>
        <w:rPr>
          <w:rFonts w:ascii="宋体" w:hAnsi="宋体" w:hint="eastAsia"/>
        </w:rPr>
        <w:t>否决性指标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7512"/>
      </w:tblGrid>
      <w:tr w:rsidR="00C15994" w:rsidRPr="00C15994" w:rsidTr="00C15994">
        <w:tc>
          <w:tcPr>
            <w:tcW w:w="84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项</w:t>
            </w:r>
          </w:p>
        </w:tc>
        <w:tc>
          <w:tcPr>
            <w:tcW w:w="75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细则</w:t>
            </w:r>
          </w:p>
        </w:tc>
      </w:tr>
      <w:tr w:rsidR="00C15994" w:rsidRPr="00C15994" w:rsidTr="00C15994">
        <w:tc>
          <w:tcPr>
            <w:tcW w:w="84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课程资质</w:t>
            </w:r>
          </w:p>
        </w:tc>
        <w:tc>
          <w:tcPr>
            <w:tcW w:w="75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1、非本科学分课程 查看教务系统提供的截图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2、开设时间或期数不符合申报要求 申报截止日期前未 完成至少两个完整的教学学期或周期（查看教务系统截图）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3、开设时间或期数不符合申报要求 申报截止日期前未 完成至少两个完整的教学学期或周期（查看教务系统截图）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4、申报材料不齐备，缺少必须提供的关键材料 查看 是否缺少申报书中的“七、附件材料清单中的1-6项”的某项材料。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5、课程与推荐申报类型不符（查看是否属于本人或他人的慕课、SPOC或其他在线课程开展线上线下混合式教学）。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6、课程线上资源无法打开（查看课程链接提供的链接）。</w:t>
            </w:r>
          </w:p>
        </w:tc>
      </w:tr>
      <w:tr w:rsidR="00C15994" w:rsidRPr="00C15994" w:rsidTr="00C15994">
        <w:tc>
          <w:tcPr>
            <w:tcW w:w="84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课程内</w:t>
            </w:r>
            <w:r w:rsidRPr="00C15994">
              <w:rPr>
                <w:rFonts w:ascii="宋体" w:hAnsi="宋体" w:hint="eastAsia"/>
                <w:sz w:val="18"/>
              </w:rPr>
              <w:lastRenderedPageBreak/>
              <w:t>容</w:t>
            </w:r>
          </w:p>
        </w:tc>
        <w:tc>
          <w:tcPr>
            <w:tcW w:w="75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lastRenderedPageBreak/>
              <w:t>1、线上资源选择随意，课程质量差，不符合教学目标要求。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lastRenderedPageBreak/>
              <w:t>2、线上课程教学安排不符合“安排20%-50%的线上 学生自主学习的基本要求” 。</w:t>
            </w:r>
          </w:p>
        </w:tc>
      </w:tr>
      <w:tr w:rsidR="00C15994" w:rsidRPr="00C15994" w:rsidTr="00C15994">
        <w:tc>
          <w:tcPr>
            <w:tcW w:w="84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lastRenderedPageBreak/>
              <w:t>教师资格</w:t>
            </w:r>
          </w:p>
        </w:tc>
        <w:tc>
          <w:tcPr>
            <w:tcW w:w="75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1、负责人非申报高校正式聘任教师查看“二、课程团队序号1的成员”及其他申报材料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2、团队成员存在师德师风方面问题查看  “十、学校政治审查意见”，根据专家掌握的信息</w:t>
            </w:r>
          </w:p>
        </w:tc>
      </w:tr>
      <w:tr w:rsidR="00C15994" w:rsidRPr="00C15994" w:rsidTr="00C15994">
        <w:tc>
          <w:tcPr>
            <w:tcW w:w="84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课程内容</w:t>
            </w:r>
          </w:p>
        </w:tc>
        <w:tc>
          <w:tcPr>
            <w:tcW w:w="75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1、存在思想性或较严重的科学性问题 专家审查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2、课程内容涉密 对比提交材料 </w:t>
            </w:r>
          </w:p>
        </w:tc>
      </w:tr>
      <w:tr w:rsidR="00C15994" w:rsidRPr="00C15994" w:rsidTr="00C15994">
        <w:tc>
          <w:tcPr>
            <w:tcW w:w="84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造假、侵权</w:t>
            </w:r>
          </w:p>
        </w:tc>
        <w:tc>
          <w:tcPr>
            <w:tcW w:w="751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1、申报材料造假 对比提交材料，或举报属实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</w:rPr>
            </w:pPr>
            <w:r w:rsidRPr="00C15994">
              <w:rPr>
                <w:rFonts w:ascii="宋体" w:hAnsi="宋体" w:hint="eastAsia"/>
                <w:sz w:val="18"/>
              </w:rPr>
              <w:t>2、发现且确认有侵权现象对比提交材料， 或举报属实</w:t>
            </w:r>
          </w:p>
        </w:tc>
      </w:tr>
    </w:tbl>
    <w:p w:rsidR="00C15994" w:rsidRPr="00C15994" w:rsidRDefault="00C15994" w:rsidP="00C15994"/>
    <w:p w:rsidR="00210C5B" w:rsidRDefault="00210C5B" w:rsidP="00210C5B">
      <w:pPr>
        <w:pStyle w:val="3"/>
        <w:rPr>
          <w:rFonts w:ascii="宋体" w:hAnsi="宋体"/>
        </w:rPr>
      </w:pPr>
      <w:r>
        <w:rPr>
          <w:rFonts w:hint="eastAsia"/>
        </w:rPr>
        <w:t xml:space="preserve">02 / </w:t>
      </w:r>
      <w:r>
        <w:rPr>
          <w:rFonts w:ascii="宋体" w:hAnsi="宋体" w:hint="eastAsia"/>
        </w:rPr>
        <w:t>评审指标细则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556"/>
        <w:gridCol w:w="5954"/>
        <w:gridCol w:w="709"/>
      </w:tblGrid>
      <w:tr w:rsidR="00C15994" w:rsidRPr="00C15994" w:rsidTr="00C15994">
        <w:tc>
          <w:tcPr>
            <w:tcW w:w="114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一级指标</w:t>
            </w: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二级指标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观测点及描述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分值</w:t>
            </w:r>
          </w:p>
        </w:tc>
      </w:tr>
      <w:tr w:rsidR="00C15994" w:rsidRPr="00C15994" w:rsidTr="00C15994">
        <w:tc>
          <w:tcPr>
            <w:tcW w:w="114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一、课程目标 符合新时代人 才培养要求 15分</w:t>
            </w: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1-1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符合学校办学定位和人才培养目标，坚持立德树人。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1-2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坚持知识、能力、素质有机融合，注重提升课程的高阶性、突出课程 的创新性、增加课程的挑战度，契合学生解决复杂问题等综合能力养成要求。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1-3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目标描述准确具体，对应国家、行业、专业需求，符合培养规律，符合校情、学情，达成路径清晰，便于考核评价。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114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二、授课教师（团队） 切实投入教学改革 15分</w:t>
            </w: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2-1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秉持学生中心、产出导向、持续改进的理念。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2-2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教学理念融入教学设计，围绕目标达成、教学内容、组织 实施和多元评价需求进行整体规划，教学策略、教学方法 教学过程、教学评价等设计合理。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2-3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教学改革意识强烈，能够主动运用新技术，创新教学方法提高教学效率、提升教学质量，教学能力有显著提升。 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114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三、课程内容与时俱进 20分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3-1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落实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课程思政建设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要求，通过专业知识教育与思想政治教育的紧密融合，将价值塑造、知识传授和能力培养三者融为一体。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3-2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体现前沿性与时代性要求，反映学科专业、行业先进的核心 理论和成果，聚焦新工科、新医科、新农科、新文科建设，  增加体现多学科思维融合、产业技术与学科理论融合、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跨专 业能力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融合、多学科项目实践融合内容。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3-3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保障教学资源的优质性与适用性，优先选择国家级和省级精品在线开放课程等高质量在线课程资源，结合本校实际对课程内容进行优化，线上、线下内容互补，充分体现混合式优势。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114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四、教与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学发生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改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变15分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4-1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以教为中心向以学为中心转变，符合“安排20-50%的教学时间实施学生线上自主学习”基本要求，以提升教学效果为目的，因材施教，运用适当的数字化教学工具创新教学方式方法，有效开展线上与线下密切衔接的全 过程教学活动。实施打破传统课堂“满堂灌”和沉默状态 的方式方法，训练学生问题解决能力和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审辩式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思维能力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10分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4-2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学生学习方式有显著变化，安排学生个别化学习与合作学习，强化课堂教学师生互动、生生互动环节，加强研究型、项目式学习。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15994" w:rsidRPr="00C15994" w:rsidTr="00C15994">
        <w:tc>
          <w:tcPr>
            <w:tcW w:w="114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五、评价拓展深化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15分</w:t>
            </w: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5-1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考核方式多元，丰富探究式、论文式、报告答辩式等作业评价方式，加强非标准化、综合性等评价，评价手段恰当必要，契合相对应的人才培养类型。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5-2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考试考核评价严格，体现过程评价，注重学习效果评价。学生线上自主学习、作业和测试等评价与参加线下教学活动的评价连贯完整，过程可回溯，</w:t>
            </w:r>
            <w:r w:rsidRPr="00C15994">
              <w:rPr>
                <w:rFonts w:ascii="宋体" w:hAnsi="宋体" w:hint="eastAsia"/>
                <w:sz w:val="18"/>
                <w:szCs w:val="18"/>
              </w:rPr>
              <w:lastRenderedPageBreak/>
              <w:t>诊断改进积极有效。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lastRenderedPageBreak/>
              <w:t>10分</w:t>
            </w:r>
          </w:p>
        </w:tc>
      </w:tr>
      <w:tr w:rsidR="00C15994" w:rsidRPr="00C15994" w:rsidTr="00C15994">
        <w:tc>
          <w:tcPr>
            <w:tcW w:w="114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lastRenderedPageBreak/>
              <w:t>六、改革行之有效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20分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6-1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学习效果提升，学生对课程的参与度、学习获得感、对教师教学以及课程的满意度有明显提高。 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6-2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改革迭代优化，有意识地收集数据开展教学反思、教学研究和教学改进。在多期混合式教学中进行迭 代，不断优化教学的设计和实施。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6-3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学校对线上线下混合式教学有合理的工作量计算机制、教学管理与质量监控机制等配套支持，并不断 完善。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6-4</w:t>
            </w:r>
          </w:p>
        </w:tc>
        <w:tc>
          <w:tcPr>
            <w:tcW w:w="59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 xml:space="preserve">较好地解决了传统教学中的短板问题。在树立课程建设新理念、推进相应类型高校课程改革创新、提 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升教学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效果方面显示了明显优势，具有推广价值。</w:t>
            </w:r>
          </w:p>
        </w:tc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5分</w:t>
            </w:r>
          </w:p>
        </w:tc>
      </w:tr>
    </w:tbl>
    <w:p w:rsidR="00C15994" w:rsidRPr="00C15994" w:rsidRDefault="00C15994" w:rsidP="00C15994"/>
    <w:p w:rsidR="00210C5B" w:rsidRDefault="00210C5B" w:rsidP="00210C5B">
      <w:pPr>
        <w:pStyle w:val="2"/>
      </w:pPr>
      <w:r>
        <w:rPr>
          <w:rFonts w:hint="eastAsia"/>
        </w:rPr>
        <w:t>虚拟仿真一流课程评审指标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955"/>
        <w:gridCol w:w="1701"/>
        <w:gridCol w:w="4536"/>
      </w:tblGrid>
      <w:tr w:rsidR="00C15994" w:rsidRPr="00C15994" w:rsidTr="00C15994">
        <w:tc>
          <w:tcPr>
            <w:tcW w:w="11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重百分比</w:t>
            </w:r>
          </w:p>
        </w:tc>
        <w:tc>
          <w:tcPr>
            <w:tcW w:w="95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一级指标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二级指标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观察点 </w:t>
            </w:r>
          </w:p>
        </w:tc>
      </w:tr>
      <w:tr w:rsidR="00C15994" w:rsidRPr="00C15994" w:rsidTr="00C15994">
        <w:tc>
          <w:tcPr>
            <w:tcW w:w="1167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一、应用强度矩阵 30分</w:t>
            </w:r>
          </w:p>
        </w:tc>
        <w:tc>
          <w:tcPr>
            <w:tcW w:w="955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应用强度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实验教学信息化总体规划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1、实验教学总体规划方案中有关信息化的描述；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2、实验教学信息化中有关虚拟仿真的描述；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虚拟实验在实验教学课程体系中的位置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1、实验课程在整个课程体系中所占比例；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2、实验课程对主干基础课的支撑程度；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3、虚拟实验在实验课程中所占比例；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4、虚拟实验的学习刚性（必修还是选修）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虚拟仿真项目在实验课程中发挥的作用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1、是否坚持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了能实不虚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的原则；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2、是否实现了虚实结合；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3、项目完成情况如何认定实验成绩；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虚拟仿真实验对原有教学形式的影响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1、是否提高了原有线下实验的效率；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2、是否增强了原有线下实验的效果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3、是否实现了线上线下相结合。</w:t>
            </w:r>
          </w:p>
        </w:tc>
      </w:tr>
      <w:tr w:rsidR="00C15994" w:rsidRPr="00C15994" w:rsidTr="00C15994">
        <w:tc>
          <w:tcPr>
            <w:tcW w:w="1167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二、应用广度矩阵 20分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应用广度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本专业应用项目的情况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1、必修课使用人数和学时数；2、选修课使用人数和学时数 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本学科其他专业应用项目的情况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1、使用项目的专业数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2、涉及的人数和学时数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本校应用项目的情况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1、是否由其他学科使用该项目；2、使用情况；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外校应用项目的情况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兄弟院校将该项目用于实验教学的情况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其他单位应用项目的情况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相关行业将该项目用于科普或员工 培训的情况</w:t>
            </w:r>
          </w:p>
        </w:tc>
      </w:tr>
      <w:tr w:rsidR="00C15994" w:rsidRPr="00C15994" w:rsidTr="00C15994">
        <w:trPr>
          <w:trHeight w:val="675"/>
        </w:trPr>
        <w:tc>
          <w:tcPr>
            <w:tcW w:w="1167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三、应用效度矩阵 30分</w:t>
            </w:r>
          </w:p>
        </w:tc>
        <w:tc>
          <w:tcPr>
            <w:tcW w:w="955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应用效度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虚拟实验填补实验教学空白 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通过使用虚拟实验，填补了原有实验教学体 系的空白，更好的支撑了课堂教学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虚拟实验优化原有实验教学 环节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1、通过使用虚拟实验，提高了原实验教学环节 的效率；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2、通过使用虚拟实验，丰富了教学手段，拓展 课学生动手能力培养方式 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虚拟实验的实际教学效果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 xml:space="preserve">1、通过虚拟实验，学生对理论教学知识点的掌 </w:t>
            </w:r>
            <w:proofErr w:type="gramStart"/>
            <w:r w:rsidRPr="00C15994">
              <w:rPr>
                <w:rFonts w:ascii="宋体" w:hAnsi="宋体" w:hint="eastAsia"/>
                <w:sz w:val="18"/>
                <w:szCs w:val="18"/>
              </w:rPr>
              <w:t>握是否</w:t>
            </w:r>
            <w:proofErr w:type="gramEnd"/>
            <w:r w:rsidRPr="00C15994">
              <w:rPr>
                <w:rFonts w:ascii="宋体" w:hAnsi="宋体" w:hint="eastAsia"/>
                <w:sz w:val="18"/>
                <w:szCs w:val="18"/>
              </w:rPr>
              <w:t>得到加强；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2、通过虚拟实验，学生对实验原理、流程和操作是否有效的掌握和模拟训练；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3、通过虚拟实验，对学生综合分析问题和解决问题能力的培养效果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4、学生评价与反馈； </w:t>
            </w:r>
          </w:p>
        </w:tc>
      </w:tr>
      <w:tr w:rsidR="00C15994" w:rsidRPr="00C15994" w:rsidTr="00C15994">
        <w:tc>
          <w:tcPr>
            <w:tcW w:w="1167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lastRenderedPageBreak/>
              <w:t>四、保障机制矩阵 20分</w:t>
            </w:r>
          </w:p>
        </w:tc>
        <w:tc>
          <w:tcPr>
            <w:tcW w:w="955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保障机制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应用与服务团队建设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是否有稳定的团队负责项目的开发与持续建设，力 量是否充足，是否具有多元化的背景，分工是否明确。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政策性支撑措施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1、对虚拟仿真项目建设的持续投入；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2、对学生使用虚拟项目是否有学分或学时认定；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3、对教师参与开发和持续建设虚拟项目是否计算工作量；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4、项目认定或应用过程中取得的成绩如何认可。</w:t>
            </w:r>
          </w:p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5、学分互认机制；</w:t>
            </w:r>
          </w:p>
        </w:tc>
      </w:tr>
      <w:tr w:rsidR="00C15994" w:rsidRPr="00C15994" w:rsidTr="00C15994">
        <w:tc>
          <w:tcPr>
            <w:tcW w:w="0" w:type="auto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服务性保障措施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5994" w:rsidRPr="00C15994" w:rsidRDefault="00C15994" w:rsidP="00C15994">
            <w:pPr>
              <w:rPr>
                <w:rFonts w:ascii="宋体" w:hAnsi="宋体"/>
                <w:sz w:val="18"/>
                <w:szCs w:val="18"/>
              </w:rPr>
            </w:pPr>
            <w:r w:rsidRPr="00C15994">
              <w:rPr>
                <w:rFonts w:ascii="宋体" w:hAnsi="宋体" w:hint="eastAsia"/>
                <w:sz w:val="18"/>
                <w:szCs w:val="18"/>
              </w:rPr>
              <w:t>鼓励项目应用和共享服务的激励措施，包括收费和成本补偿机制，人员激励等；</w:t>
            </w:r>
          </w:p>
        </w:tc>
      </w:tr>
    </w:tbl>
    <w:p w:rsidR="00906563" w:rsidRPr="00C15994" w:rsidRDefault="00906563" w:rsidP="00C15994"/>
    <w:p w:rsidR="00E306F4" w:rsidRPr="00906563" w:rsidRDefault="00DE2AE6" w:rsidP="00906563"/>
    <w:sectPr w:rsidR="00E306F4" w:rsidRPr="0090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63"/>
    <w:rsid w:val="001E2A8B"/>
    <w:rsid w:val="00210C5B"/>
    <w:rsid w:val="00906563"/>
    <w:rsid w:val="00AF61E7"/>
    <w:rsid w:val="00B45A0F"/>
    <w:rsid w:val="00C15994"/>
    <w:rsid w:val="00DE2AE6"/>
    <w:rsid w:val="00E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B269"/>
  <w15:chartTrackingRefBased/>
  <w15:docId w15:val="{9BA07799-4F25-4DA2-A14A-D7C62AAA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6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9065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065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10C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6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065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210C5B"/>
    <w:rPr>
      <w:b/>
      <w:bCs/>
    </w:rPr>
  </w:style>
  <w:style w:type="character" w:customStyle="1" w:styleId="30">
    <w:name w:val="标题 3 字符"/>
    <w:basedOn w:val="a0"/>
    <w:link w:val="3"/>
    <w:uiPriority w:val="9"/>
    <w:rsid w:val="00210C5B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China-User</cp:lastModifiedBy>
  <cp:revision>3</cp:revision>
  <dcterms:created xsi:type="dcterms:W3CDTF">2021-03-12T01:05:00Z</dcterms:created>
  <dcterms:modified xsi:type="dcterms:W3CDTF">2021-03-12T01:06:00Z</dcterms:modified>
</cp:coreProperties>
</file>